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9A886B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875353">
        <w:rPr>
          <w:bCs/>
          <w:smallCaps w:val="0"/>
          <w:sz w:val="24"/>
        </w:rPr>
        <w:t>CONSUTLANTS’ QUALIFICATION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6B52FB21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  <w:r w:rsidR="006E4031">
        <w:rPr>
          <w:rFonts w:ascii="Times New Roman" w:hAnsi="Times New Roman"/>
          <w:sz w:val="24"/>
          <w:szCs w:val="24"/>
        </w:rPr>
        <w:t xml:space="preserve"> </w:t>
      </w:r>
    </w:p>
    <w:p w14:paraId="7E284062" w14:textId="21A7D9DE" w:rsidR="00526617" w:rsidRDefault="00EC50B8" w:rsidP="003C286B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7037FE" w:rsidRPr="007037FE">
        <w:rPr>
          <w:rFonts w:ascii="Times New Roman" w:hAnsi="Times New Roman"/>
          <w:sz w:val="24"/>
          <w:szCs w:val="24"/>
        </w:rPr>
        <w:t>Technical Control (Review) of Geological Investigation works design &amp; Elaborate of performed Geological investigation works and Supervision of the Investigation Works for a</w:t>
      </w:r>
      <w:r w:rsidR="007037FE">
        <w:rPr>
          <w:rFonts w:ascii="Times New Roman" w:hAnsi="Times New Roman"/>
          <w:sz w:val="24"/>
          <w:szCs w:val="24"/>
        </w:rPr>
        <w:t xml:space="preserve"> new fishing Port at </w:t>
      </w:r>
      <w:proofErr w:type="spellStart"/>
      <w:r w:rsidR="007037FE">
        <w:rPr>
          <w:rFonts w:ascii="Times New Roman" w:hAnsi="Times New Roman"/>
          <w:sz w:val="24"/>
          <w:szCs w:val="24"/>
        </w:rPr>
        <w:t>Velika</w:t>
      </w:r>
      <w:proofErr w:type="spellEnd"/>
      <w:r w:rsidR="007037FE">
        <w:rPr>
          <w:rFonts w:ascii="Times New Roman" w:hAnsi="Times New Roman"/>
          <w:sz w:val="24"/>
          <w:szCs w:val="24"/>
        </w:rPr>
        <w:t xml:space="preserve"> plaza (Ulcinj)</w:t>
      </w:r>
    </w:p>
    <w:p w14:paraId="3B0BBDA7" w14:textId="0ACFFDB2" w:rsidR="00EC50B8" w:rsidRPr="00134CCE" w:rsidRDefault="00EC50B8" w:rsidP="003C28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6A12A3">
        <w:rPr>
          <w:rFonts w:ascii="Times New Roman" w:hAnsi="Times New Roman"/>
          <w:spacing w:val="-2"/>
          <w:sz w:val="24"/>
          <w:szCs w:val="24"/>
        </w:rPr>
        <w:t>CQ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3C286B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7037FE">
        <w:rPr>
          <w:rFonts w:ascii="Times New Roman" w:hAnsi="Times New Roman"/>
          <w:spacing w:val="-2"/>
          <w:sz w:val="24"/>
          <w:szCs w:val="24"/>
        </w:rPr>
        <w:t>3.2.10.1.</w:t>
      </w:r>
    </w:p>
    <w:p w14:paraId="4C77877C" w14:textId="10A1061F" w:rsidR="009830E4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6E2C7936" w14:textId="69687181" w:rsidR="009B6032" w:rsidRPr="00C8765F" w:rsidRDefault="009B6032" w:rsidP="009B6032">
      <w:pPr>
        <w:jc w:val="both"/>
        <w:rPr>
          <w:rFonts w:ascii="Times New Roman" w:hAnsi="Times New Roman"/>
          <w:b/>
          <w:szCs w:val="22"/>
        </w:rPr>
      </w:pPr>
      <w:r w:rsidRPr="00C8765F">
        <w:rPr>
          <w:rFonts w:ascii="Times New Roman" w:hAnsi="Times New Roman"/>
          <w:b/>
          <w:szCs w:val="22"/>
          <w:lang w:val="en-GB"/>
        </w:rPr>
        <w:t xml:space="preserve">Note: This is repeated advertisement originally published on </w:t>
      </w:r>
      <w:r>
        <w:rPr>
          <w:rFonts w:ascii="Times New Roman" w:hAnsi="Times New Roman"/>
          <w:b/>
          <w:szCs w:val="22"/>
          <w:lang w:val="en-GB"/>
        </w:rPr>
        <w:t>July 31, 2020</w:t>
      </w:r>
    </w:p>
    <w:p w14:paraId="3B330990" w14:textId="77777777" w:rsidR="009B6032" w:rsidRPr="0026024C" w:rsidRDefault="009B6032" w:rsidP="009B6032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szCs w:val="22"/>
          <w:lang w:val="en-GB"/>
        </w:rPr>
        <w:t xml:space="preserve">          All applications previously submitted are not required to be sent again.</w:t>
      </w:r>
    </w:p>
    <w:p w14:paraId="0C748C06" w14:textId="77777777" w:rsidR="009B6032" w:rsidRPr="00134CCE" w:rsidRDefault="009B6032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6912E30" w14:textId="7CDC153A" w:rsidR="006A12A3" w:rsidRPr="006A12A3" w:rsidRDefault="00C523ED" w:rsidP="001A057E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>The Montenegro has received financing from the World Bank toward the cost</w:t>
      </w:r>
      <w:r w:rsidR="00526617">
        <w:rPr>
          <w:rFonts w:ascii="Times New Roman" w:hAnsi="Times New Roman"/>
          <w:spacing w:val="-2"/>
          <w:sz w:val="24"/>
          <w:szCs w:val="24"/>
        </w:rPr>
        <w:t>s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5266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C286B" w:rsidRPr="003C286B">
        <w:rPr>
          <w:rFonts w:ascii="Times New Roman" w:hAnsi="Times New Roman"/>
          <w:sz w:val="24"/>
          <w:szCs w:val="24"/>
        </w:rPr>
        <w:t xml:space="preserve">for </w:t>
      </w:r>
      <w:r w:rsidR="007037FE" w:rsidRPr="007037FE">
        <w:rPr>
          <w:rFonts w:ascii="Times New Roman" w:hAnsi="Times New Roman"/>
          <w:sz w:val="24"/>
          <w:szCs w:val="24"/>
        </w:rPr>
        <w:t>Technical Control (Review) of Geological Investigation works design &amp; Elaborate of performed Geological investigation works and Supervision of the Investigation Works for a</w:t>
      </w:r>
      <w:r w:rsidR="007037FE">
        <w:rPr>
          <w:rFonts w:ascii="Times New Roman" w:hAnsi="Times New Roman"/>
          <w:sz w:val="24"/>
          <w:szCs w:val="24"/>
        </w:rPr>
        <w:t xml:space="preserve"> new fishing Port at </w:t>
      </w:r>
      <w:proofErr w:type="spellStart"/>
      <w:r w:rsidR="007037FE">
        <w:rPr>
          <w:rFonts w:ascii="Times New Roman" w:hAnsi="Times New Roman"/>
          <w:sz w:val="24"/>
          <w:szCs w:val="24"/>
        </w:rPr>
        <w:t>Velika</w:t>
      </w:r>
      <w:proofErr w:type="spellEnd"/>
      <w:r w:rsidR="007037FE">
        <w:rPr>
          <w:rFonts w:ascii="Times New Roman" w:hAnsi="Times New Roman"/>
          <w:sz w:val="24"/>
          <w:szCs w:val="24"/>
        </w:rPr>
        <w:t xml:space="preserve"> plaza (Ulcinj)</w:t>
      </w:r>
      <w:r w:rsidR="006A12A3">
        <w:rPr>
          <w:rFonts w:ascii="Times New Roman" w:hAnsi="Times New Roman"/>
          <w:sz w:val="24"/>
          <w:szCs w:val="24"/>
        </w:rPr>
        <w:t>.</w:t>
      </w:r>
      <w:r w:rsidR="00D243F2">
        <w:rPr>
          <w:rFonts w:ascii="Times New Roman" w:hAnsi="Times New Roman"/>
          <w:sz w:val="24"/>
          <w:szCs w:val="24"/>
        </w:rPr>
        <w:t xml:space="preserve"> </w:t>
      </w:r>
      <w:r w:rsidR="003C286B">
        <w:rPr>
          <w:rFonts w:ascii="Times New Roman" w:hAnsi="Times New Roman"/>
          <w:sz w:val="24"/>
          <w:szCs w:val="24"/>
        </w:rPr>
        <w:t xml:space="preserve"> </w:t>
      </w:r>
      <w:r w:rsidR="00526617">
        <w:rPr>
          <w:rFonts w:ascii="Times New Roman" w:hAnsi="Times New Roman"/>
          <w:sz w:val="24"/>
          <w:szCs w:val="24"/>
        </w:rPr>
        <w:t xml:space="preserve"> </w:t>
      </w:r>
    </w:p>
    <w:p w14:paraId="20C552E6" w14:textId="751AF761" w:rsidR="00916E24" w:rsidRPr="00825B5C" w:rsidRDefault="00916E2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FC44353" w14:textId="20381E5F" w:rsidR="007037FE" w:rsidRPr="007037FE" w:rsidRDefault="009830E4" w:rsidP="007037F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526617" w:rsidRPr="00526617">
        <w:rPr>
          <w:rFonts w:ascii="Times New Roman" w:hAnsi="Times New Roman"/>
          <w:spacing w:val="-2"/>
          <w:sz w:val="24"/>
          <w:szCs w:val="24"/>
        </w:rPr>
        <w:t xml:space="preserve">is to </w:t>
      </w:r>
      <w:r w:rsidR="007037FE" w:rsidRPr="007037FE">
        <w:rPr>
          <w:rFonts w:ascii="Times New Roman" w:hAnsi="Times New Roman"/>
          <w:spacing w:val="-2"/>
          <w:sz w:val="24"/>
          <w:szCs w:val="24"/>
        </w:rPr>
        <w:t xml:space="preserve">ensure that Geological Investigation works performed under the process of development of an Environmental and Social Impact Assessment are conducted fully in compliance with Montenegrin technical regulation and legislation. </w:t>
      </w:r>
    </w:p>
    <w:p w14:paraId="12CC2FCE" w14:textId="737B1379" w:rsidR="00EA0731" w:rsidRDefault="007037FE" w:rsidP="007037F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7037FE">
        <w:rPr>
          <w:rFonts w:ascii="Times New Roman" w:hAnsi="Times New Roman"/>
          <w:spacing w:val="-2"/>
          <w:sz w:val="24"/>
          <w:szCs w:val="24"/>
        </w:rPr>
        <w:t>The works under this assignment shall be performed in close cooperation with the ESIA consulting firm (hereinafter known as the Contractor) which will conduct the Geological Investigation works</w:t>
      </w:r>
      <w:r w:rsidR="00526617" w:rsidRPr="00526617">
        <w:rPr>
          <w:rFonts w:ascii="Times New Roman" w:hAnsi="Times New Roman"/>
          <w:spacing w:val="-2"/>
          <w:sz w:val="24"/>
          <w:szCs w:val="24"/>
        </w:rPr>
        <w:t>.</w:t>
      </w:r>
    </w:p>
    <w:p w14:paraId="517A734B" w14:textId="77777777" w:rsidR="00526617" w:rsidRDefault="00526617" w:rsidP="00D243F2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F906108" w14:textId="3A89ADA9" w:rsidR="00526617" w:rsidRDefault="007037FE" w:rsidP="00526617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7037FE">
        <w:rPr>
          <w:rFonts w:ascii="Times New Roman" w:hAnsi="Times New Roman"/>
          <w:spacing w:val="-2"/>
          <w:sz w:val="24"/>
          <w:lang w:val="en-GB"/>
        </w:rPr>
        <w:t>The assignment will have a duration of the period of 4 months and the required level of inputs is estimated at a total of 30 work/days, working from home and on site, depending of agreement with the beneficiary (at least 8 days of the assignment should be done on site).</w:t>
      </w:r>
      <w:r w:rsidR="00526617">
        <w:rPr>
          <w:rFonts w:ascii="Times New Roman" w:hAnsi="Times New Roman"/>
          <w:spacing w:val="-2"/>
          <w:sz w:val="24"/>
          <w:lang w:val="en-GB"/>
        </w:rPr>
        <w:t xml:space="preserve"> </w:t>
      </w:r>
      <w:r>
        <w:rPr>
          <w:rFonts w:ascii="Times New Roman" w:hAnsi="Times New Roman"/>
          <w:spacing w:val="-2"/>
          <w:sz w:val="24"/>
          <w:lang w:val="en-GB"/>
        </w:rPr>
        <w:t>P</w:t>
      </w:r>
      <w:r w:rsidR="00526617">
        <w:rPr>
          <w:rFonts w:ascii="Times New Roman" w:hAnsi="Times New Roman"/>
          <w:spacing w:val="-2"/>
          <w:sz w:val="24"/>
          <w:lang w:val="en-GB"/>
        </w:rPr>
        <w:t>lanned starting date</w:t>
      </w:r>
      <w:r>
        <w:rPr>
          <w:rFonts w:ascii="Times New Roman" w:hAnsi="Times New Roman"/>
          <w:spacing w:val="-2"/>
          <w:sz w:val="24"/>
          <w:lang w:val="en-GB"/>
        </w:rPr>
        <w:t xml:space="preserve"> is</w:t>
      </w:r>
      <w:r w:rsidR="00526617">
        <w:rPr>
          <w:rFonts w:ascii="Times New Roman" w:hAnsi="Times New Roman"/>
          <w:spacing w:val="-2"/>
          <w:sz w:val="24"/>
          <w:lang w:val="en-GB"/>
        </w:rPr>
        <w:t xml:space="preserve"> </w:t>
      </w:r>
      <w:r>
        <w:rPr>
          <w:rFonts w:ascii="Times New Roman" w:hAnsi="Times New Roman"/>
          <w:spacing w:val="-2"/>
          <w:sz w:val="24"/>
          <w:lang w:val="en-GB"/>
        </w:rPr>
        <w:t>September</w:t>
      </w:r>
      <w:r w:rsidR="00526617">
        <w:rPr>
          <w:rFonts w:ascii="Times New Roman" w:hAnsi="Times New Roman"/>
          <w:spacing w:val="-2"/>
          <w:sz w:val="24"/>
          <w:lang w:val="en-GB"/>
        </w:rPr>
        <w:t xml:space="preserve"> 2020</w:t>
      </w:r>
      <w:r>
        <w:rPr>
          <w:rFonts w:ascii="Times New Roman" w:hAnsi="Times New Roman"/>
          <w:spacing w:val="-2"/>
          <w:sz w:val="24"/>
          <w:lang w:val="en-GB"/>
        </w:rPr>
        <w:t>.</w:t>
      </w:r>
    </w:p>
    <w:p w14:paraId="4ED7F0F4" w14:textId="77777777" w:rsidR="007037FE" w:rsidRDefault="007037FE" w:rsidP="00526617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2469DD4E" w14:textId="70E7453F" w:rsidR="001C3893" w:rsidRPr="00D12616" w:rsidRDefault="00825B5C" w:rsidP="0052661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743EA7BB" w14:textId="576F1055" w:rsidR="00C8711C" w:rsidRDefault="009830E4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lastRenderedPageBreak/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</w:t>
      </w:r>
      <w:r w:rsidR="00750F9A">
        <w:rPr>
          <w:rFonts w:ascii="Times New Roman" w:hAnsi="Times New Roman"/>
          <w:spacing w:val="-2"/>
          <w:sz w:val="24"/>
        </w:rPr>
        <w:t xml:space="preserve"> (on English language)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473E2968" w14:textId="77777777" w:rsidR="003C286B" w:rsidRP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</w:p>
    <w:p w14:paraId="19117D69" w14:textId="3B8CE645" w:rsid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The </w:t>
      </w:r>
      <w:proofErr w:type="spellStart"/>
      <w:r>
        <w:rPr>
          <w:rFonts w:ascii="Times New Roman" w:hAnsi="Times New Roman"/>
          <w:b/>
          <w:spacing w:val="-2"/>
          <w:sz w:val="24"/>
          <w:lang w:val="en-GB"/>
        </w:rPr>
        <w:t>shotlisting</w:t>
      </w:r>
      <w:proofErr w:type="spellEnd"/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 criteria for a company are: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5"/>
        <w:gridCol w:w="1602"/>
      </w:tblGrid>
      <w:tr w:rsidR="007037FE" w:rsidRPr="007037FE" w14:paraId="1FEDF421" w14:textId="77777777" w:rsidTr="00454651">
        <w:trPr>
          <w:jc w:val="center"/>
        </w:trPr>
        <w:tc>
          <w:tcPr>
            <w:tcW w:w="7465" w:type="dxa"/>
            <w:shd w:val="clear" w:color="auto" w:fill="F2F2F2"/>
            <w:hideMark/>
          </w:tcPr>
          <w:p w14:paraId="00132D9D" w14:textId="77777777" w:rsidR="007037FE" w:rsidRPr="007037FE" w:rsidRDefault="007037FE" w:rsidP="007037FE">
            <w:pPr>
              <w:suppressAutoHyphens/>
              <w:jc w:val="both"/>
              <w:rPr>
                <w:rFonts w:ascii="Times New Roman" w:hAnsi="Times New Roman"/>
                <w:b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b/>
                <w:bCs/>
                <w:spacing w:val="-2"/>
                <w:sz w:val="24"/>
              </w:rPr>
              <w:t>Criteria</w:t>
            </w:r>
          </w:p>
        </w:tc>
        <w:tc>
          <w:tcPr>
            <w:tcW w:w="1602" w:type="dxa"/>
            <w:shd w:val="clear" w:color="auto" w:fill="F2F2F2"/>
          </w:tcPr>
          <w:p w14:paraId="7AC98486" w14:textId="77777777" w:rsidR="007037FE" w:rsidRPr="007037FE" w:rsidRDefault="007037FE" w:rsidP="007037FE">
            <w:pPr>
              <w:suppressAutoHyphens/>
              <w:jc w:val="both"/>
              <w:rPr>
                <w:rFonts w:ascii="Times New Roman" w:hAnsi="Times New Roman"/>
                <w:b/>
                <w:bCs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b/>
                <w:spacing w:val="-2"/>
                <w:sz w:val="24"/>
              </w:rPr>
              <w:t>Points (max)</w:t>
            </w:r>
          </w:p>
        </w:tc>
      </w:tr>
      <w:tr w:rsidR="007037FE" w:rsidRPr="007037FE" w14:paraId="08134BBC" w14:textId="77777777" w:rsidTr="00454651">
        <w:trPr>
          <w:jc w:val="center"/>
        </w:trPr>
        <w:tc>
          <w:tcPr>
            <w:tcW w:w="7465" w:type="dxa"/>
            <w:shd w:val="clear" w:color="auto" w:fill="auto"/>
            <w:vAlign w:val="center"/>
          </w:tcPr>
          <w:p w14:paraId="06BB6963" w14:textId="77777777" w:rsidR="007037FE" w:rsidRPr="007037FE" w:rsidRDefault="007037FE" w:rsidP="007037FE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 xml:space="preserve">At least 10 years of </w:t>
            </w:r>
            <w:r w:rsidRPr="007037FE">
              <w:rPr>
                <w:rFonts w:ascii="Times New Roman" w:hAnsi="Times New Roman"/>
                <w:spacing w:val="-2"/>
                <w:sz w:val="24"/>
                <w:lang w:val="en-GB"/>
              </w:rPr>
              <w:t>general professional experience in: Technical Control (Review) of the Geological Investigation works design &amp; Elaborate of performed Geological investigation works; Execution of investigation works and supervision of investigation works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EC6B4CF" w14:textId="77777777" w:rsidR="007037FE" w:rsidRPr="007037FE" w:rsidRDefault="007037FE" w:rsidP="007037FE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Mandatory*</w:t>
            </w:r>
          </w:p>
        </w:tc>
      </w:tr>
      <w:tr w:rsidR="007037FE" w:rsidRPr="007037FE" w14:paraId="4F28A6AA" w14:textId="77777777" w:rsidTr="00454651">
        <w:trPr>
          <w:jc w:val="center"/>
        </w:trPr>
        <w:tc>
          <w:tcPr>
            <w:tcW w:w="7465" w:type="dxa"/>
            <w:shd w:val="clear" w:color="auto" w:fill="auto"/>
            <w:vAlign w:val="center"/>
          </w:tcPr>
          <w:p w14:paraId="674D194D" w14:textId="77777777" w:rsidR="007037FE" w:rsidRPr="007037FE" w:rsidRDefault="007037FE" w:rsidP="007037FE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Available 3 experts licensed in accordance with the: Law on Geological Research ("Official Gazette of Montenegro ", No. 28/93, 27/94, 42/94, 26/07, “Official Gazette of Montenegro”, No 28/11) and Law on spatial planning and construction of structures (Official Gazette of Montenegro, No. 64/17).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2BFB251" w14:textId="77777777" w:rsidR="007037FE" w:rsidRPr="007037FE" w:rsidRDefault="007037FE" w:rsidP="00454651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Mandatory*</w:t>
            </w:r>
          </w:p>
        </w:tc>
      </w:tr>
      <w:tr w:rsidR="007037FE" w:rsidRPr="007037FE" w14:paraId="174F1E4F" w14:textId="77777777" w:rsidTr="00454651">
        <w:trPr>
          <w:jc w:val="center"/>
        </w:trPr>
        <w:tc>
          <w:tcPr>
            <w:tcW w:w="7465" w:type="dxa"/>
            <w:shd w:val="clear" w:color="auto" w:fill="auto"/>
            <w:vAlign w:val="center"/>
          </w:tcPr>
          <w:p w14:paraId="658EAE68" w14:textId="77777777" w:rsidR="007037FE" w:rsidRPr="007037FE" w:rsidRDefault="007037FE" w:rsidP="007037FE">
            <w:pPr>
              <w:suppressAutoHyphens/>
              <w:rPr>
                <w:rFonts w:ascii="Times New Roman" w:hAnsi="Times New Roman"/>
                <w:b/>
                <w:bCs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b/>
                <w:bCs/>
                <w:spacing w:val="-2"/>
                <w:sz w:val="24"/>
                <w:u w:val="single"/>
              </w:rPr>
              <w:t>Evaluation criteria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DC5C624" w14:textId="77777777" w:rsidR="007037FE" w:rsidRPr="007037FE" w:rsidRDefault="007037FE" w:rsidP="007037FE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7037FE" w:rsidRPr="007037FE" w14:paraId="2C609CA7" w14:textId="77777777" w:rsidTr="00454651">
        <w:trPr>
          <w:cantSplit/>
          <w:trHeight w:val="460"/>
          <w:jc w:val="center"/>
        </w:trPr>
        <w:tc>
          <w:tcPr>
            <w:tcW w:w="7465" w:type="dxa"/>
            <w:vAlign w:val="center"/>
          </w:tcPr>
          <w:p w14:paraId="514A7E43" w14:textId="77777777" w:rsidR="007037FE" w:rsidRPr="007037FE" w:rsidRDefault="007037FE" w:rsidP="007037FE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Years of general experience in the field of the assignment</w:t>
            </w:r>
          </w:p>
        </w:tc>
        <w:tc>
          <w:tcPr>
            <w:tcW w:w="1602" w:type="dxa"/>
            <w:vAlign w:val="center"/>
          </w:tcPr>
          <w:p w14:paraId="31DAA7B5" w14:textId="77777777" w:rsidR="007037FE" w:rsidRPr="007037FE" w:rsidRDefault="007037FE" w:rsidP="007037FE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45</w:t>
            </w:r>
          </w:p>
        </w:tc>
      </w:tr>
      <w:tr w:rsidR="007037FE" w:rsidRPr="007037FE" w14:paraId="2055FD14" w14:textId="77777777" w:rsidTr="00454651">
        <w:trPr>
          <w:cantSplit/>
          <w:trHeight w:val="481"/>
          <w:jc w:val="center"/>
        </w:trPr>
        <w:tc>
          <w:tcPr>
            <w:tcW w:w="7465" w:type="dxa"/>
            <w:vAlign w:val="center"/>
          </w:tcPr>
          <w:p w14:paraId="11667A9A" w14:textId="77777777" w:rsidR="007037FE" w:rsidRPr="007037FE" w:rsidRDefault="007037FE" w:rsidP="007037FE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 xml:space="preserve">Number of similar contracts performed </w:t>
            </w:r>
          </w:p>
        </w:tc>
        <w:tc>
          <w:tcPr>
            <w:tcW w:w="1602" w:type="dxa"/>
            <w:vAlign w:val="center"/>
          </w:tcPr>
          <w:p w14:paraId="237A27CF" w14:textId="77777777" w:rsidR="007037FE" w:rsidRPr="007037FE" w:rsidRDefault="007037FE" w:rsidP="007037FE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50</w:t>
            </w:r>
          </w:p>
        </w:tc>
      </w:tr>
      <w:tr w:rsidR="007037FE" w:rsidRPr="007037FE" w14:paraId="335F0AB8" w14:textId="77777777" w:rsidTr="00454651">
        <w:trPr>
          <w:cantSplit/>
          <w:trHeight w:val="481"/>
          <w:jc w:val="center"/>
        </w:trPr>
        <w:tc>
          <w:tcPr>
            <w:tcW w:w="7465" w:type="dxa"/>
            <w:vAlign w:val="center"/>
          </w:tcPr>
          <w:p w14:paraId="1DDAA9AE" w14:textId="77777777" w:rsidR="007037FE" w:rsidRPr="007037FE" w:rsidRDefault="007037FE" w:rsidP="007037FE">
            <w:pPr>
              <w:suppressAutoHyphens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Practical experience in Technical Control (Review) of the Geological Investigation works design &amp; Elaborate of performed Geological investigation works; Execution of investigation works and supervision of investigation works in port environments</w:t>
            </w:r>
          </w:p>
        </w:tc>
        <w:tc>
          <w:tcPr>
            <w:tcW w:w="1602" w:type="dxa"/>
            <w:vAlign w:val="center"/>
          </w:tcPr>
          <w:p w14:paraId="68AC41A3" w14:textId="77777777" w:rsidR="007037FE" w:rsidRPr="007037FE" w:rsidRDefault="007037FE" w:rsidP="007037FE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7037FE">
              <w:rPr>
                <w:rFonts w:ascii="Times New Roman" w:hAnsi="Times New Roman"/>
                <w:spacing w:val="-2"/>
                <w:sz w:val="24"/>
              </w:rPr>
              <w:t>5</w:t>
            </w:r>
          </w:p>
        </w:tc>
      </w:tr>
    </w:tbl>
    <w:p w14:paraId="297DF280" w14:textId="0D9332D4" w:rsidR="00526617" w:rsidRPr="00526617" w:rsidRDefault="00526617" w:rsidP="005266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eastAsia="Calibri" w:cstheme="minorHAnsi"/>
          <w:lang w:eastAsia="de-DE"/>
        </w:rPr>
      </w:pPr>
      <w:r w:rsidRPr="002C5E3F">
        <w:rPr>
          <w:rFonts w:eastAsia="Calibri" w:cstheme="minorHAnsi"/>
          <w:lang w:eastAsia="de-DE"/>
        </w:rPr>
        <w:t xml:space="preserve">* </w:t>
      </w:r>
      <w:r>
        <w:rPr>
          <w:rFonts w:eastAsia="Calibri" w:cstheme="minorHAnsi"/>
          <w:lang w:eastAsia="de-DE"/>
        </w:rPr>
        <w:t>Consultants</w:t>
      </w:r>
      <w:r w:rsidRPr="002C5E3F">
        <w:rPr>
          <w:rFonts w:eastAsia="Calibri" w:cstheme="minorHAnsi"/>
          <w:lang w:eastAsia="de-DE"/>
        </w:rPr>
        <w:t xml:space="preserve"> which do not satisfy it, w</w:t>
      </w:r>
      <w:r>
        <w:rPr>
          <w:rFonts w:eastAsia="Calibri" w:cstheme="minorHAnsi"/>
          <w:lang w:eastAsia="de-DE"/>
        </w:rPr>
        <w:t>ill be excluded from evaluation.</w:t>
      </w:r>
    </w:p>
    <w:p w14:paraId="648052AC" w14:textId="77777777" w:rsidR="00ED7815" w:rsidRDefault="00ED7815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0F86BEC" w14:textId="7842B76E" w:rsid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>Consultant firms may associate with other firms in the form of a joint venture or a sub-consultancy to enhance their qualifications. Qualifications and experience of the consulting firm associated as sub-consultancy will not be considered for evaluation for shortlisting.</w:t>
      </w: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20980B86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2B39474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75353">
        <w:rPr>
          <w:rFonts w:ascii="Times New Roman" w:hAnsi="Times New Roman"/>
          <w:spacing w:val="-2"/>
          <w:sz w:val="24"/>
        </w:rPr>
        <w:t>Consultants’ Qualification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51793AED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 xml:space="preserve">(by 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C57726">
        <w:rPr>
          <w:rFonts w:ascii="Times New Roman" w:hAnsi="Times New Roman"/>
          <w:b/>
          <w:spacing w:val="-2"/>
          <w:sz w:val="24"/>
        </w:rPr>
        <w:t>September 8</w:t>
      </w:r>
      <w:r w:rsidR="00E6395A" w:rsidRPr="001A057E">
        <w:rPr>
          <w:rFonts w:ascii="Times New Roman" w:hAnsi="Times New Roman"/>
          <w:b/>
          <w:spacing w:val="-2"/>
          <w:sz w:val="24"/>
        </w:rPr>
        <w:t>,</w:t>
      </w:r>
      <w:r w:rsidR="003C286B">
        <w:rPr>
          <w:rFonts w:ascii="Times New Roman" w:hAnsi="Times New Roman"/>
          <w:b/>
          <w:spacing w:val="-2"/>
          <w:sz w:val="24"/>
        </w:rPr>
        <w:t xml:space="preserve"> 2020,</w:t>
      </w:r>
      <w:r w:rsidR="00E6395A" w:rsidRPr="001A057E">
        <w:rPr>
          <w:rFonts w:ascii="Times New Roman" w:hAnsi="Times New Roman"/>
          <w:b/>
          <w:spacing w:val="-2"/>
          <w:sz w:val="24"/>
        </w:rPr>
        <w:t xml:space="preserve"> </w:t>
      </w:r>
      <w:r w:rsidR="002C7721" w:rsidRPr="001A057E">
        <w:rPr>
          <w:rFonts w:ascii="Times New Roman" w:hAnsi="Times New Roman"/>
          <w:b/>
          <w:spacing w:val="-2"/>
          <w:sz w:val="24"/>
        </w:rPr>
        <w:t>14,00</w:t>
      </w:r>
      <w:r w:rsidR="00E6395A" w:rsidRPr="001A057E">
        <w:rPr>
          <w:rFonts w:ascii="Times New Roman" w:hAnsi="Times New Roman"/>
          <w:b/>
          <w:spacing w:val="-2"/>
          <w:sz w:val="24"/>
        </w:rPr>
        <w:t>h</w:t>
      </w:r>
      <w:r w:rsidRPr="001A057E">
        <w:rPr>
          <w:rFonts w:ascii="Times New Roman" w:hAnsi="Times New Roman"/>
          <w:b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lastRenderedPageBreak/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Jovana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Vlade)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79AE51B" w:rsidR="00E6395A" w:rsidRPr="00E6395A" w:rsidRDefault="006A12A3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34BAC530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C2B8771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C25B1" w14:textId="77777777" w:rsidR="00A53CFF" w:rsidRDefault="00A53CFF">
      <w:r>
        <w:separator/>
      </w:r>
    </w:p>
  </w:endnote>
  <w:endnote w:type="continuationSeparator" w:id="0">
    <w:p w14:paraId="7406F302" w14:textId="77777777" w:rsidR="00A53CFF" w:rsidRDefault="00A53CFF">
      <w:r>
        <w:rPr>
          <w:sz w:val="24"/>
        </w:rPr>
        <w:t xml:space="preserve"> </w:t>
      </w:r>
    </w:p>
  </w:endnote>
  <w:endnote w:type="continuationNotice" w:id="1">
    <w:p w14:paraId="6E3A7973" w14:textId="77777777" w:rsidR="00A53CFF" w:rsidRDefault="00A53CF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273BE" w14:textId="77777777" w:rsidR="00A53CFF" w:rsidRDefault="00A53CFF">
      <w:r>
        <w:rPr>
          <w:sz w:val="24"/>
        </w:rPr>
        <w:separator/>
      </w:r>
    </w:p>
  </w:footnote>
  <w:footnote w:type="continuationSeparator" w:id="0">
    <w:p w14:paraId="4AA558DF" w14:textId="77777777" w:rsidR="00A53CFF" w:rsidRDefault="00A5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448EA" w14:textId="77777777" w:rsidR="006A0E24" w:rsidRDefault="006A0E2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7968"/>
    <w:multiLevelType w:val="hybridMultilevel"/>
    <w:tmpl w:val="DA0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8AC"/>
    <w:multiLevelType w:val="hybridMultilevel"/>
    <w:tmpl w:val="E4843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23A4"/>
    <w:rsid w:val="00002BA3"/>
    <w:rsid w:val="00023073"/>
    <w:rsid w:val="00026BA1"/>
    <w:rsid w:val="00031D58"/>
    <w:rsid w:val="000447BE"/>
    <w:rsid w:val="0007139E"/>
    <w:rsid w:val="000846C5"/>
    <w:rsid w:val="00095418"/>
    <w:rsid w:val="000A4184"/>
    <w:rsid w:val="000C0EC0"/>
    <w:rsid w:val="000C4041"/>
    <w:rsid w:val="000C6F6F"/>
    <w:rsid w:val="00134CCE"/>
    <w:rsid w:val="00137802"/>
    <w:rsid w:val="00146D68"/>
    <w:rsid w:val="00196614"/>
    <w:rsid w:val="001A057E"/>
    <w:rsid w:val="001B0D84"/>
    <w:rsid w:val="001C3893"/>
    <w:rsid w:val="001C4752"/>
    <w:rsid w:val="001D70EB"/>
    <w:rsid w:val="002461A8"/>
    <w:rsid w:val="002727A9"/>
    <w:rsid w:val="00276E66"/>
    <w:rsid w:val="002902CC"/>
    <w:rsid w:val="002B2EC7"/>
    <w:rsid w:val="002C4377"/>
    <w:rsid w:val="002C7721"/>
    <w:rsid w:val="00357959"/>
    <w:rsid w:val="00370030"/>
    <w:rsid w:val="00372355"/>
    <w:rsid w:val="00394CE1"/>
    <w:rsid w:val="003B0ADD"/>
    <w:rsid w:val="003C286B"/>
    <w:rsid w:val="003C5181"/>
    <w:rsid w:val="004011E2"/>
    <w:rsid w:val="004019F6"/>
    <w:rsid w:val="004025FF"/>
    <w:rsid w:val="00435556"/>
    <w:rsid w:val="00436995"/>
    <w:rsid w:val="00447B7B"/>
    <w:rsid w:val="00454651"/>
    <w:rsid w:val="004A5E02"/>
    <w:rsid w:val="004C3F92"/>
    <w:rsid w:val="004E721D"/>
    <w:rsid w:val="00526617"/>
    <w:rsid w:val="00561114"/>
    <w:rsid w:val="00593053"/>
    <w:rsid w:val="005A0276"/>
    <w:rsid w:val="005A7A01"/>
    <w:rsid w:val="005C48F5"/>
    <w:rsid w:val="006155E2"/>
    <w:rsid w:val="0063770E"/>
    <w:rsid w:val="00661053"/>
    <w:rsid w:val="00661C9B"/>
    <w:rsid w:val="00684E8F"/>
    <w:rsid w:val="006A0E24"/>
    <w:rsid w:val="006A12A3"/>
    <w:rsid w:val="006D6898"/>
    <w:rsid w:val="006E4031"/>
    <w:rsid w:val="006F3706"/>
    <w:rsid w:val="007037FE"/>
    <w:rsid w:val="00750F9A"/>
    <w:rsid w:val="00785CA1"/>
    <w:rsid w:val="007C0446"/>
    <w:rsid w:val="007D59F6"/>
    <w:rsid w:val="007D611D"/>
    <w:rsid w:val="007E1EC3"/>
    <w:rsid w:val="008154BF"/>
    <w:rsid w:val="008174CB"/>
    <w:rsid w:val="00825B5C"/>
    <w:rsid w:val="0083275E"/>
    <w:rsid w:val="008520EE"/>
    <w:rsid w:val="00875353"/>
    <w:rsid w:val="008929AC"/>
    <w:rsid w:val="008A4AA7"/>
    <w:rsid w:val="008B6B8E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B6032"/>
    <w:rsid w:val="009C3C43"/>
    <w:rsid w:val="009C747E"/>
    <w:rsid w:val="00A05A45"/>
    <w:rsid w:val="00A53CFF"/>
    <w:rsid w:val="00A56872"/>
    <w:rsid w:val="00A90DFA"/>
    <w:rsid w:val="00AB71C1"/>
    <w:rsid w:val="00B12567"/>
    <w:rsid w:val="00B20153"/>
    <w:rsid w:val="00B3630A"/>
    <w:rsid w:val="00B82047"/>
    <w:rsid w:val="00BA4299"/>
    <w:rsid w:val="00BB1618"/>
    <w:rsid w:val="00BC1BB9"/>
    <w:rsid w:val="00BD14B2"/>
    <w:rsid w:val="00BD6CBC"/>
    <w:rsid w:val="00BE11E0"/>
    <w:rsid w:val="00C24DF1"/>
    <w:rsid w:val="00C30AB8"/>
    <w:rsid w:val="00C523ED"/>
    <w:rsid w:val="00C55D76"/>
    <w:rsid w:val="00C57726"/>
    <w:rsid w:val="00C70D43"/>
    <w:rsid w:val="00C8711C"/>
    <w:rsid w:val="00CC6F65"/>
    <w:rsid w:val="00CD158A"/>
    <w:rsid w:val="00D12616"/>
    <w:rsid w:val="00D149A4"/>
    <w:rsid w:val="00D243F2"/>
    <w:rsid w:val="00D24F28"/>
    <w:rsid w:val="00D35A53"/>
    <w:rsid w:val="00D51573"/>
    <w:rsid w:val="00D66483"/>
    <w:rsid w:val="00D8414F"/>
    <w:rsid w:val="00DA15DD"/>
    <w:rsid w:val="00DB75A4"/>
    <w:rsid w:val="00DD7362"/>
    <w:rsid w:val="00DE6007"/>
    <w:rsid w:val="00DF4F57"/>
    <w:rsid w:val="00E07E32"/>
    <w:rsid w:val="00E6395A"/>
    <w:rsid w:val="00EA0731"/>
    <w:rsid w:val="00EB5460"/>
    <w:rsid w:val="00EC045A"/>
    <w:rsid w:val="00EC50B8"/>
    <w:rsid w:val="00ED7815"/>
    <w:rsid w:val="00F17486"/>
    <w:rsid w:val="00F461F4"/>
    <w:rsid w:val="00F63325"/>
    <w:rsid w:val="00F67564"/>
    <w:rsid w:val="00F833F7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,본문(내용)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34"/>
    <w:qFormat/>
    <w:rsid w:val="00526617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5D98-6F80-474F-B19A-6E03B6D8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4771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36</cp:revision>
  <cp:lastPrinted>2020-06-12T08:22:00Z</cp:lastPrinted>
  <dcterms:created xsi:type="dcterms:W3CDTF">2018-10-23T14:49:00Z</dcterms:created>
  <dcterms:modified xsi:type="dcterms:W3CDTF">2020-08-20T11:59:00Z</dcterms:modified>
</cp:coreProperties>
</file>